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7C349" w14:textId="750AA2DA" w:rsidR="0019358D" w:rsidRDefault="00BD6C88">
      <w:pPr>
        <w:tabs>
          <w:tab w:val="right" w:pos="9630"/>
        </w:tabs>
        <w:snapToGrid w:val="0"/>
        <w:jc w:val="both"/>
        <w:rPr>
          <w:b/>
        </w:rPr>
      </w:pPr>
      <w:bookmarkStart w:id="0" w:name="_Hlk114691757"/>
      <w:bookmarkStart w:id="1" w:name="OLE_LINK12"/>
      <w:bookmarkStart w:id="2" w:name="OLE_LINK34"/>
      <w:bookmarkStart w:id="3" w:name="OLE_LINK24"/>
      <w:bookmarkStart w:id="4" w:name="OLE_LINK33"/>
      <w:bookmarkStart w:id="5" w:name="OLE_LINK13"/>
      <w:bookmarkEnd w:id="0"/>
      <w:r>
        <w:rPr>
          <w:b/>
        </w:rPr>
        <w:t>3GPP TSG RAN WG1 #11</w:t>
      </w:r>
      <w:r w:rsidR="002C5E1E">
        <w:rPr>
          <w:b/>
        </w:rPr>
        <w:t>9</w:t>
      </w:r>
      <w:r>
        <w:rPr>
          <w:b/>
        </w:rPr>
        <w:t xml:space="preserve">                                    </w:t>
      </w:r>
      <w:r>
        <w:rPr>
          <w:rFonts w:hint="eastAsia"/>
          <w:b/>
        </w:rPr>
        <w:t xml:space="preserve"> </w:t>
      </w:r>
      <w:r>
        <w:rPr>
          <w:b/>
        </w:rPr>
        <w:t xml:space="preserve">   </w:t>
      </w:r>
      <w:r>
        <w:rPr>
          <w:rFonts w:hint="eastAsia"/>
          <w:b/>
        </w:rPr>
        <w:t>R1-2</w:t>
      </w:r>
      <w:r>
        <w:rPr>
          <w:b/>
        </w:rPr>
        <w:t>4</w:t>
      </w:r>
      <w:r w:rsidR="00A82202">
        <w:rPr>
          <w:b/>
        </w:rPr>
        <w:t>10453</w:t>
      </w:r>
    </w:p>
    <w:p w14:paraId="02EB88B6" w14:textId="77777777" w:rsidR="0019358D" w:rsidRDefault="002C5E1E">
      <w:pPr>
        <w:tabs>
          <w:tab w:val="center" w:pos="4536"/>
          <w:tab w:val="right" w:pos="8280"/>
          <w:tab w:val="right" w:pos="9639"/>
        </w:tabs>
        <w:snapToGrid w:val="0"/>
        <w:ind w:left="482" w:right="2" w:hangingChars="200" w:hanging="482"/>
        <w:jc w:val="both"/>
        <w:rPr>
          <w:b/>
          <w:lang w:bidi="ar"/>
        </w:rPr>
      </w:pPr>
      <w:r w:rsidRPr="002C5E1E">
        <w:rPr>
          <w:b/>
          <w:lang w:bidi="ar"/>
        </w:rPr>
        <w:t>Orlando, US, November 18</w:t>
      </w:r>
      <w:r w:rsidRPr="00A87151">
        <w:rPr>
          <w:b/>
          <w:vertAlign w:val="superscript"/>
          <w:lang w:bidi="ar"/>
        </w:rPr>
        <w:t>th</w:t>
      </w:r>
      <w:r w:rsidRPr="002C5E1E">
        <w:rPr>
          <w:b/>
          <w:lang w:bidi="ar"/>
        </w:rPr>
        <w:t xml:space="preserve"> – 22</w:t>
      </w:r>
      <w:r w:rsidRPr="00A87151">
        <w:rPr>
          <w:b/>
          <w:vertAlign w:val="superscript"/>
          <w:lang w:bidi="ar"/>
        </w:rPr>
        <w:t>nd</w:t>
      </w:r>
      <w:r w:rsidRPr="002C5E1E">
        <w:rPr>
          <w:b/>
          <w:lang w:bidi="ar"/>
        </w:rPr>
        <w:t>, 2024</w:t>
      </w:r>
    </w:p>
    <w:p w14:paraId="20E862A5" w14:textId="77777777" w:rsidR="0019358D" w:rsidRDefault="0019358D">
      <w:pPr>
        <w:tabs>
          <w:tab w:val="center" w:pos="4536"/>
          <w:tab w:val="right" w:pos="8280"/>
          <w:tab w:val="right" w:pos="9639"/>
        </w:tabs>
        <w:snapToGrid w:val="0"/>
        <w:ind w:left="482" w:right="2" w:hangingChars="200" w:hanging="482"/>
        <w:jc w:val="both"/>
        <w:rPr>
          <w:b/>
        </w:rPr>
      </w:pPr>
    </w:p>
    <w:p w14:paraId="0E1D1416" w14:textId="77777777" w:rsidR="0019358D" w:rsidRDefault="00BD6C88">
      <w:pPr>
        <w:pBdr>
          <w:bottom w:val="single" w:sz="6" w:space="1" w:color="auto"/>
        </w:pBdr>
        <w:snapToGrid w:val="0"/>
        <w:ind w:left="1797" w:hanging="1797"/>
        <w:jc w:val="both"/>
        <w:rPr>
          <w:b/>
        </w:rPr>
      </w:pPr>
      <w:r>
        <w:rPr>
          <w:b/>
        </w:rPr>
        <w:t>Source:</w:t>
      </w:r>
      <w:r>
        <w:rPr>
          <w:b/>
        </w:rPr>
        <w:tab/>
        <w:t xml:space="preserve">ZTE Corporation, </w:t>
      </w:r>
      <w:proofErr w:type="spellStart"/>
      <w:r>
        <w:rPr>
          <w:b/>
        </w:rPr>
        <w:t>Sanechips</w:t>
      </w:r>
      <w:proofErr w:type="spellEnd"/>
    </w:p>
    <w:p w14:paraId="0C9846B1" w14:textId="33505A7D" w:rsidR="0019358D" w:rsidRDefault="00BD6C88">
      <w:pPr>
        <w:pBdr>
          <w:bottom w:val="single" w:sz="6" w:space="1" w:color="auto"/>
        </w:pBdr>
        <w:snapToGrid w:val="0"/>
        <w:ind w:left="1797" w:hanging="1797"/>
        <w:jc w:val="both"/>
        <w:rPr>
          <w:b/>
        </w:rPr>
      </w:pPr>
      <w:r>
        <w:rPr>
          <w:b/>
        </w:rPr>
        <w:t>Title:</w:t>
      </w:r>
      <w:r>
        <w:rPr>
          <w:b/>
        </w:rPr>
        <w:tab/>
        <w:t xml:space="preserve">Discussion on </w:t>
      </w:r>
      <w:r w:rsidR="00402EDF">
        <w:rPr>
          <w:b/>
        </w:rPr>
        <w:t>active semi-persistent SRS resource</w:t>
      </w:r>
    </w:p>
    <w:p w14:paraId="48DCBEB4" w14:textId="05AD323F" w:rsidR="0019358D" w:rsidRDefault="00BD6C88">
      <w:pPr>
        <w:pBdr>
          <w:bottom w:val="single" w:sz="6" w:space="1" w:color="auto"/>
        </w:pBdr>
        <w:snapToGrid w:val="0"/>
        <w:ind w:left="1797" w:hanging="1797"/>
        <w:jc w:val="both"/>
        <w:rPr>
          <w:b/>
        </w:rPr>
      </w:pPr>
      <w:r>
        <w:rPr>
          <w:b/>
        </w:rPr>
        <w:t>Agenda item:</w:t>
      </w:r>
      <w:r>
        <w:rPr>
          <w:b/>
        </w:rPr>
        <w:tab/>
      </w:r>
      <w:r w:rsidR="00402EDF">
        <w:rPr>
          <w:b/>
        </w:rPr>
        <w:t>8.1</w:t>
      </w:r>
    </w:p>
    <w:p w14:paraId="578CE764" w14:textId="77777777" w:rsidR="0019358D" w:rsidRDefault="00BD6C88">
      <w:pPr>
        <w:pBdr>
          <w:bottom w:val="single" w:sz="6" w:space="1" w:color="auto"/>
        </w:pBdr>
        <w:snapToGrid w:val="0"/>
        <w:ind w:left="1797" w:hanging="1797"/>
        <w:jc w:val="both"/>
        <w:rPr>
          <w:b/>
        </w:rPr>
      </w:pPr>
      <w:r>
        <w:rPr>
          <w:b/>
        </w:rPr>
        <w:t>Document for:</w:t>
      </w:r>
      <w:r>
        <w:rPr>
          <w:b/>
        </w:rPr>
        <w:tab/>
        <w:t>Discussion and Decision</w:t>
      </w:r>
    </w:p>
    <w:p w14:paraId="5395C5A9" w14:textId="77777777" w:rsidR="0019358D" w:rsidRDefault="00BD6C88">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p w14:paraId="365F4CAC" w14:textId="7F9725F3" w:rsidR="0045244A" w:rsidRDefault="00BD6C88" w:rsidP="00A924FC">
      <w:pPr>
        <w:snapToGrid w:val="0"/>
        <w:spacing w:beforeLines="50" w:before="180" w:afterLines="50" w:after="180"/>
        <w:jc w:val="both"/>
        <w:rPr>
          <w:iCs/>
          <w:sz w:val="20"/>
          <w:szCs w:val="20"/>
        </w:rPr>
      </w:pPr>
      <w:r>
        <w:rPr>
          <w:iCs/>
          <w:sz w:val="20"/>
          <w:szCs w:val="20"/>
        </w:rPr>
        <w:t xml:space="preserve">In </w:t>
      </w:r>
      <w:r w:rsidR="004851D0">
        <w:rPr>
          <w:iCs/>
          <w:sz w:val="20"/>
          <w:szCs w:val="20"/>
        </w:rPr>
        <w:t xml:space="preserve">this RAN1 meeting, a </w:t>
      </w:r>
      <w:r w:rsidR="00402EDF">
        <w:rPr>
          <w:iCs/>
          <w:sz w:val="20"/>
          <w:szCs w:val="20"/>
        </w:rPr>
        <w:t>CR</w:t>
      </w:r>
      <w:r w:rsidR="009E48F3" w:rsidRPr="009E48F3">
        <w:t xml:space="preserve"> </w:t>
      </w:r>
      <w:r w:rsidR="009E48F3" w:rsidRPr="009E48F3">
        <w:rPr>
          <w:iCs/>
          <w:sz w:val="20"/>
          <w:szCs w:val="20"/>
        </w:rPr>
        <w:t>R1-2407841</w:t>
      </w:r>
      <w:r w:rsidR="006240B7">
        <w:rPr>
          <w:iCs/>
          <w:sz w:val="20"/>
          <w:szCs w:val="20"/>
        </w:rPr>
        <w:t xml:space="preserve"> [1]</w:t>
      </w:r>
      <w:r w:rsidR="00402EDF">
        <w:rPr>
          <w:iCs/>
          <w:sz w:val="20"/>
          <w:szCs w:val="20"/>
        </w:rPr>
        <w:t xml:space="preserve"> is submitted </w:t>
      </w:r>
      <w:r w:rsidR="009E48F3">
        <w:rPr>
          <w:iCs/>
          <w:sz w:val="20"/>
          <w:szCs w:val="20"/>
        </w:rPr>
        <w:t>on how to handle semi-persistent SRS outside active UL BWP. A conclusion was made to resume the discussion in RAN1#119.</w:t>
      </w:r>
      <w:r w:rsidR="00A924FC">
        <w:rPr>
          <w:iCs/>
          <w:sz w:val="20"/>
          <w:szCs w:val="20"/>
        </w:rPr>
        <w:t xml:space="preserve"> We provide our views in the following</w:t>
      </w:r>
      <w:r w:rsidR="00A8603E">
        <w:rPr>
          <w:iCs/>
          <w:sz w:val="20"/>
          <w:szCs w:val="20"/>
        </w:rPr>
        <w:t xml:space="preserve"> section.</w:t>
      </w:r>
    </w:p>
    <w:p w14:paraId="177C2901" w14:textId="77777777" w:rsidR="00A924FC" w:rsidRPr="00402EDF" w:rsidRDefault="00A924FC" w:rsidP="00A924FC">
      <w:pPr>
        <w:snapToGrid w:val="0"/>
        <w:spacing w:beforeLines="50" w:before="180" w:afterLines="50" w:after="180"/>
        <w:jc w:val="both"/>
        <w:rPr>
          <w:iCs/>
          <w:sz w:val="20"/>
          <w:szCs w:val="20"/>
        </w:rPr>
      </w:pPr>
    </w:p>
    <w:bookmarkEnd w:id="6"/>
    <w:p w14:paraId="44D4AE9A" w14:textId="77777777" w:rsidR="0019358D" w:rsidRDefault="00BD6C88">
      <w:pPr>
        <w:pStyle w:val="1"/>
        <w:snapToGrid w:val="0"/>
        <w:spacing w:before="120" w:afterLines="50" w:after="180"/>
        <w:ind w:left="431" w:hanging="431"/>
        <w:jc w:val="both"/>
        <w:rPr>
          <w:sz w:val="28"/>
          <w:lang w:val="en-US"/>
        </w:rPr>
      </w:pPr>
      <w:r>
        <w:rPr>
          <w:sz w:val="28"/>
          <w:lang w:val="en-US"/>
        </w:rPr>
        <w:t>Discussion</w:t>
      </w:r>
    </w:p>
    <w:p w14:paraId="66D2BEDE" w14:textId="4BC6C5F8" w:rsidR="00A924FC" w:rsidRDefault="00D31BEE" w:rsidP="00A924FC">
      <w:pPr>
        <w:snapToGrid w:val="0"/>
        <w:spacing w:beforeLines="50" w:before="180" w:afterLines="50" w:after="180"/>
        <w:jc w:val="both"/>
        <w:rPr>
          <w:rFonts w:eastAsia="等线"/>
          <w:sz w:val="20"/>
          <w:szCs w:val="20"/>
          <w:lang w:bidi="ar"/>
        </w:rPr>
      </w:pPr>
      <w:r>
        <w:rPr>
          <w:rFonts w:eastAsia="等线"/>
          <w:sz w:val="20"/>
          <w:szCs w:val="20"/>
          <w:lang w:bidi="ar"/>
        </w:rPr>
        <w:t xml:space="preserve">Based on </w:t>
      </w:r>
      <w:r w:rsidR="00EB6FAF">
        <w:rPr>
          <w:rFonts w:eastAsia="等线"/>
          <w:sz w:val="20"/>
          <w:szCs w:val="20"/>
          <w:lang w:bidi="ar"/>
        </w:rPr>
        <w:t>proponent’s draft CR, the main issue is that two sections of TS 38.214 may lead to two different UE behaviors:</w:t>
      </w:r>
    </w:p>
    <w:p w14:paraId="23A58965" w14:textId="7542B32B" w:rsidR="00EB6FAF" w:rsidRDefault="00A17EDA" w:rsidP="00EB6FAF">
      <w:pPr>
        <w:pStyle w:val="aff2"/>
        <w:numPr>
          <w:ilvl w:val="0"/>
          <w:numId w:val="20"/>
        </w:numPr>
        <w:snapToGrid w:val="0"/>
        <w:spacing w:beforeLines="50" w:before="180" w:afterLines="50"/>
        <w:jc w:val="both"/>
        <w:rPr>
          <w:rFonts w:eastAsia="等线"/>
          <w:sz w:val="20"/>
          <w:lang w:bidi="ar"/>
        </w:rPr>
      </w:pPr>
      <w:r>
        <w:rPr>
          <w:rFonts w:eastAsia="等线" w:hint="eastAsia"/>
          <w:sz w:val="20"/>
          <w:lang w:eastAsia="zh-CN" w:bidi="ar"/>
        </w:rPr>
        <w:t>B</w:t>
      </w:r>
      <w:r>
        <w:rPr>
          <w:rFonts w:eastAsia="等线"/>
          <w:sz w:val="20"/>
          <w:lang w:eastAsia="zh-CN" w:bidi="ar"/>
        </w:rPr>
        <w:t>ased on 6.2.1, the semi-persistent SRS is considered suspended outside active BWP or if the UE receives a deactivation command.</w:t>
      </w:r>
    </w:p>
    <w:p w14:paraId="1AE06D5D" w14:textId="0BCC896C" w:rsidR="00A17EDA" w:rsidRPr="00EB6FAF" w:rsidRDefault="00A17EDA" w:rsidP="00EB6FAF">
      <w:pPr>
        <w:pStyle w:val="aff2"/>
        <w:numPr>
          <w:ilvl w:val="0"/>
          <w:numId w:val="20"/>
        </w:numPr>
        <w:snapToGrid w:val="0"/>
        <w:spacing w:beforeLines="50" w:before="180" w:afterLines="50"/>
        <w:jc w:val="both"/>
        <w:rPr>
          <w:rFonts w:eastAsia="等线"/>
          <w:sz w:val="20"/>
          <w:lang w:bidi="ar"/>
        </w:rPr>
      </w:pPr>
      <w:r>
        <w:rPr>
          <w:rFonts w:eastAsiaTheme="minorEastAsia"/>
          <w:sz w:val="20"/>
          <w:lang w:eastAsia="zh-CN" w:bidi="ar"/>
        </w:rPr>
        <w:t xml:space="preserve">Based on 6.2.1.4.1, for </w:t>
      </w:r>
      <w:proofErr w:type="spellStart"/>
      <w:r>
        <w:rPr>
          <w:rFonts w:eastAsiaTheme="minorEastAsia"/>
          <w:sz w:val="20"/>
          <w:lang w:eastAsia="zh-CN" w:bidi="ar"/>
        </w:rPr>
        <w:t>RedCap</w:t>
      </w:r>
      <w:proofErr w:type="spellEnd"/>
      <w:r>
        <w:rPr>
          <w:rFonts w:eastAsiaTheme="minorEastAsia"/>
          <w:sz w:val="20"/>
          <w:lang w:eastAsia="zh-CN" w:bidi="ar"/>
        </w:rPr>
        <w:t xml:space="preserve"> UE frequency hopping, the UE may perform Tx hopping separate from the UL BWP and outside the UL BWP.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916"/>
      </w:tblGrid>
      <w:tr w:rsidR="00A924FC" w:rsidRPr="00402EDF" w14:paraId="48756CB7" w14:textId="77777777" w:rsidTr="00846794">
        <w:trPr>
          <w:jc w:val="center"/>
        </w:trPr>
        <w:tc>
          <w:tcPr>
            <w:tcW w:w="8916" w:type="dxa"/>
            <w:shd w:val="clear" w:color="auto" w:fill="auto"/>
          </w:tcPr>
          <w:p w14:paraId="3DF13486" w14:textId="77777777" w:rsidR="00A924FC" w:rsidRPr="00402EDF" w:rsidRDefault="00A924FC" w:rsidP="00C24536">
            <w:pPr>
              <w:snapToGrid w:val="0"/>
              <w:spacing w:beforeLines="50" w:before="180" w:afterLines="50" w:after="180"/>
              <w:jc w:val="both"/>
              <w:rPr>
                <w:b/>
                <w:iCs/>
                <w:sz w:val="20"/>
                <w:szCs w:val="20"/>
              </w:rPr>
            </w:pPr>
            <w:bookmarkStart w:id="7" w:name="_Toc169793816"/>
            <w:r w:rsidRPr="00402EDF">
              <w:rPr>
                <w:b/>
                <w:iCs/>
                <w:sz w:val="20"/>
                <w:szCs w:val="20"/>
              </w:rPr>
              <w:t>6.2.1</w:t>
            </w:r>
            <w:r w:rsidRPr="00402EDF">
              <w:rPr>
                <w:b/>
                <w:iCs/>
                <w:sz w:val="20"/>
                <w:szCs w:val="20"/>
              </w:rPr>
              <w:tab/>
              <w:t>UE sounding procedure</w:t>
            </w:r>
          </w:p>
          <w:p w14:paraId="6978C567" w14:textId="77777777" w:rsidR="00A924FC" w:rsidRDefault="00A924FC" w:rsidP="00C24536">
            <w:pPr>
              <w:snapToGrid w:val="0"/>
              <w:spacing w:beforeLines="50" w:before="180" w:afterLines="50" w:after="180"/>
              <w:jc w:val="both"/>
              <w:rPr>
                <w:b/>
                <w:iCs/>
                <w:sz w:val="20"/>
                <w:szCs w:val="20"/>
              </w:rPr>
            </w:pPr>
            <w:r w:rsidRPr="00402EDF">
              <w:rPr>
                <w:iCs/>
                <w:sz w:val="20"/>
                <w:szCs w:val="20"/>
              </w:rPr>
              <w:t>If the UE has an active semi-persistent SRS resource configuration and has not received a deactivation command, the semi-persistent SRS configuration is considered to be active in the UL BWP which is active, otherwise it is considered suspended.</w:t>
            </w:r>
          </w:p>
          <w:p w14:paraId="593A009E" w14:textId="77777777" w:rsidR="00A924FC" w:rsidRPr="00402EDF" w:rsidRDefault="00A924FC" w:rsidP="00C24536">
            <w:pPr>
              <w:snapToGrid w:val="0"/>
              <w:spacing w:beforeLines="50" w:before="180" w:afterLines="50" w:after="180"/>
              <w:jc w:val="both"/>
              <w:rPr>
                <w:b/>
                <w:iCs/>
                <w:sz w:val="20"/>
                <w:szCs w:val="20"/>
              </w:rPr>
            </w:pPr>
            <w:r w:rsidRPr="00402EDF">
              <w:rPr>
                <w:b/>
                <w:iCs/>
                <w:sz w:val="20"/>
                <w:szCs w:val="20"/>
              </w:rPr>
              <w:t>6.2.1.4.1</w:t>
            </w:r>
            <w:r w:rsidRPr="00402EDF">
              <w:rPr>
                <w:b/>
                <w:iCs/>
                <w:sz w:val="20"/>
                <w:szCs w:val="20"/>
              </w:rPr>
              <w:tab/>
            </w:r>
            <w:r>
              <w:rPr>
                <w:b/>
                <w:iCs/>
                <w:sz w:val="20"/>
                <w:szCs w:val="20"/>
              </w:rPr>
              <w:t xml:space="preserve"> </w:t>
            </w:r>
            <w:r w:rsidRPr="00402EDF">
              <w:rPr>
                <w:b/>
                <w:iCs/>
                <w:sz w:val="20"/>
                <w:szCs w:val="20"/>
              </w:rPr>
              <w:t>SRS frequency hopping for positioning</w:t>
            </w:r>
            <w:bookmarkEnd w:id="7"/>
          </w:p>
          <w:p w14:paraId="2136A570" w14:textId="77777777" w:rsidR="00A924FC" w:rsidRPr="00402EDF" w:rsidRDefault="00A924FC" w:rsidP="00C24536">
            <w:pPr>
              <w:snapToGrid w:val="0"/>
              <w:spacing w:beforeLines="50" w:before="180" w:afterLines="50" w:after="180"/>
              <w:jc w:val="both"/>
              <w:rPr>
                <w:iCs/>
                <w:sz w:val="20"/>
                <w:szCs w:val="20"/>
              </w:rPr>
            </w:pPr>
            <w:r w:rsidRPr="00402EDF">
              <w:rPr>
                <w:iCs/>
                <w:sz w:val="20"/>
                <w:szCs w:val="20"/>
              </w:rPr>
              <w:t>The reduced capability UE may be configured via SRS-</w:t>
            </w:r>
            <w:proofErr w:type="spellStart"/>
            <w:r w:rsidRPr="00402EDF">
              <w:rPr>
                <w:iCs/>
                <w:sz w:val="20"/>
                <w:szCs w:val="20"/>
              </w:rPr>
              <w:t>PosTx</w:t>
            </w:r>
            <w:proofErr w:type="spellEnd"/>
            <w:r w:rsidRPr="00402EDF">
              <w:rPr>
                <w:iCs/>
                <w:sz w:val="20"/>
                <w:szCs w:val="20"/>
              </w:rPr>
              <w:t>-Hopping, subject to UE capability, to perform transmit frequency hopping separate from the UL BWP configuration and outside of the UL BWP, where the UE may be configured with subcarrier spacing, CP and bandwidth that are different from the UL active BWP.</w:t>
            </w:r>
          </w:p>
        </w:tc>
      </w:tr>
    </w:tbl>
    <w:p w14:paraId="4A73569C" w14:textId="15D381C2" w:rsidR="00D31BEE" w:rsidRDefault="00A17EDA" w:rsidP="00F83C1E">
      <w:pPr>
        <w:snapToGrid w:val="0"/>
        <w:spacing w:beforeLines="50" w:before="180" w:afterLines="50" w:after="180"/>
        <w:jc w:val="both"/>
        <w:rPr>
          <w:rFonts w:eastAsia="等线"/>
          <w:sz w:val="20"/>
          <w:szCs w:val="20"/>
          <w:lang w:bidi="ar"/>
        </w:rPr>
      </w:pPr>
      <w:r>
        <w:rPr>
          <w:rFonts w:eastAsia="等线" w:hint="eastAsia"/>
          <w:sz w:val="20"/>
          <w:szCs w:val="20"/>
          <w:lang w:bidi="ar"/>
        </w:rPr>
        <w:t>H</w:t>
      </w:r>
      <w:r>
        <w:rPr>
          <w:rFonts w:eastAsia="等线"/>
          <w:sz w:val="20"/>
          <w:szCs w:val="20"/>
          <w:lang w:bidi="ar"/>
        </w:rPr>
        <w:t>owever, from our perspective, the change is not needed since generally the new Rel-18 feature added in the spec could override and replace the existing spec in 6.2.1.</w:t>
      </w:r>
      <w:r w:rsidR="00846794">
        <w:rPr>
          <w:rFonts w:eastAsia="等线"/>
          <w:sz w:val="20"/>
          <w:szCs w:val="20"/>
          <w:lang w:bidi="ar"/>
        </w:rPr>
        <w:t xml:space="preserve"> There is no need to make any change on the existing SRS behavior.</w:t>
      </w:r>
    </w:p>
    <w:p w14:paraId="1FB88B77" w14:textId="770B8E7A" w:rsidR="00A17EDA" w:rsidRDefault="00A17EDA" w:rsidP="00F83C1E">
      <w:pPr>
        <w:snapToGrid w:val="0"/>
        <w:spacing w:beforeLines="50" w:before="180" w:afterLines="50" w:after="180"/>
        <w:jc w:val="both"/>
        <w:rPr>
          <w:rFonts w:eastAsia="等线"/>
          <w:sz w:val="20"/>
          <w:szCs w:val="20"/>
          <w:lang w:bidi="ar"/>
        </w:rPr>
      </w:pPr>
      <w:r>
        <w:rPr>
          <w:rFonts w:eastAsia="等线" w:hint="eastAsia"/>
          <w:sz w:val="20"/>
          <w:szCs w:val="20"/>
          <w:lang w:bidi="ar"/>
        </w:rPr>
        <w:t>S</w:t>
      </w:r>
      <w:r>
        <w:rPr>
          <w:rFonts w:eastAsia="等线"/>
          <w:sz w:val="20"/>
          <w:szCs w:val="20"/>
          <w:lang w:bidi="ar"/>
        </w:rPr>
        <w:t>imilar issues will arise</w:t>
      </w:r>
      <w:r w:rsidR="00B0297A">
        <w:rPr>
          <w:rFonts w:eastAsia="等线"/>
          <w:sz w:val="20"/>
          <w:szCs w:val="20"/>
          <w:lang w:bidi="ar"/>
        </w:rPr>
        <w:t xml:space="preserve"> if we agree the above CR</w:t>
      </w:r>
      <w:r>
        <w:rPr>
          <w:rFonts w:eastAsia="等线"/>
          <w:sz w:val="20"/>
          <w:szCs w:val="20"/>
          <w:lang w:bidi="ar"/>
        </w:rPr>
        <w:t>, for example:</w:t>
      </w:r>
      <w:r w:rsidR="00846794">
        <w:rPr>
          <w:rFonts w:eastAsia="等线"/>
          <w:sz w:val="20"/>
          <w:szCs w:val="20"/>
          <w:lang w:bidi="ar"/>
        </w:rPr>
        <w:t xml:space="preserve"> the determination of the minimum time interval between the last symbol of the PDCCH triggering aperiodic SRS transmission and the first SRS symbol of SRS resource is </w:t>
      </w:r>
      <w:r w:rsidR="00846794" w:rsidRPr="00B0297A">
        <w:rPr>
          <w:rFonts w:eastAsia="等线"/>
          <w:b/>
          <w:sz w:val="20"/>
          <w:szCs w:val="20"/>
          <w:lang w:bidi="ar"/>
        </w:rPr>
        <w:t>different</w:t>
      </w:r>
      <w:r w:rsidR="00846794">
        <w:rPr>
          <w:rFonts w:eastAsia="等线"/>
          <w:sz w:val="20"/>
          <w:szCs w:val="20"/>
          <w:lang w:bidi="ar"/>
        </w:rPr>
        <w:t xml:space="preserve"> in section 6.2.1 and section 6.2.1.4.1 respectively. We don’t need to emphasis “if UE is not configured with </w:t>
      </w:r>
      <w:r w:rsidR="00846794" w:rsidRPr="00846794">
        <w:rPr>
          <w:i/>
          <w:iCs/>
          <w:sz w:val="20"/>
          <w:szCs w:val="20"/>
        </w:rPr>
        <w:t>SRS-</w:t>
      </w:r>
      <w:proofErr w:type="spellStart"/>
      <w:r w:rsidR="00846794" w:rsidRPr="00846794">
        <w:rPr>
          <w:i/>
          <w:iCs/>
          <w:sz w:val="20"/>
          <w:szCs w:val="20"/>
        </w:rPr>
        <w:t>PosTx</w:t>
      </w:r>
      <w:proofErr w:type="spellEnd"/>
      <w:r w:rsidR="00846794" w:rsidRPr="00846794">
        <w:rPr>
          <w:i/>
          <w:iCs/>
          <w:sz w:val="20"/>
          <w:szCs w:val="20"/>
        </w:rPr>
        <w:t>-Hopping</w:t>
      </w:r>
      <w:r w:rsidR="00846794">
        <w:rPr>
          <w:rFonts w:eastAsia="等线"/>
          <w:sz w:val="20"/>
          <w:szCs w:val="20"/>
          <w:lang w:bidi="ar"/>
        </w:rPr>
        <w:t>” multiple times in the spec.</w:t>
      </w:r>
    </w:p>
    <w:tbl>
      <w:tblPr>
        <w:tblStyle w:val="afc"/>
        <w:tblW w:w="0" w:type="auto"/>
        <w:tblLook w:val="04A0" w:firstRow="1" w:lastRow="0" w:firstColumn="1" w:lastColumn="0" w:noHBand="0" w:noVBand="1"/>
      </w:tblPr>
      <w:tblGrid>
        <w:gridCol w:w="9350"/>
      </w:tblGrid>
      <w:tr w:rsidR="00885CB1" w:rsidRPr="00846794" w14:paraId="3A7AA154" w14:textId="77777777" w:rsidTr="00885CB1">
        <w:tc>
          <w:tcPr>
            <w:tcW w:w="9350" w:type="dxa"/>
          </w:tcPr>
          <w:p w14:paraId="52394E90" w14:textId="77777777" w:rsidR="00885CB1" w:rsidRPr="00846794" w:rsidRDefault="00885CB1" w:rsidP="00846794">
            <w:pPr>
              <w:snapToGrid w:val="0"/>
              <w:jc w:val="both"/>
              <w:rPr>
                <w:b/>
                <w:iCs/>
                <w:sz w:val="20"/>
                <w:szCs w:val="20"/>
              </w:rPr>
            </w:pPr>
            <w:r w:rsidRPr="00846794">
              <w:rPr>
                <w:b/>
                <w:iCs/>
                <w:sz w:val="20"/>
                <w:szCs w:val="20"/>
              </w:rPr>
              <w:t>6.2.1</w:t>
            </w:r>
            <w:r w:rsidRPr="00846794">
              <w:rPr>
                <w:b/>
                <w:iCs/>
                <w:sz w:val="20"/>
                <w:szCs w:val="20"/>
              </w:rPr>
              <w:tab/>
              <w:t>UE sounding procedure</w:t>
            </w:r>
          </w:p>
          <w:p w14:paraId="0DB7D500" w14:textId="77777777" w:rsidR="00846794" w:rsidRPr="00846794" w:rsidRDefault="00846794" w:rsidP="00846794">
            <w:pPr>
              <w:snapToGrid w:val="0"/>
              <w:rPr>
                <w:rFonts w:eastAsia="MS Mincho"/>
                <w:sz w:val="20"/>
                <w:szCs w:val="20"/>
              </w:rPr>
            </w:pPr>
            <w:bookmarkStart w:id="8" w:name="_Hlk500903520"/>
            <w:bookmarkEnd w:id="8"/>
            <w:r w:rsidRPr="00846794">
              <w:rPr>
                <w:rFonts w:eastAsia="MS Mincho"/>
                <w:sz w:val="20"/>
                <w:szCs w:val="20"/>
              </w:rPr>
              <w:t xml:space="preserve">For a UE configured with one or more SRS resource configuration(s), and when the higher layer parameter </w:t>
            </w:r>
            <w:proofErr w:type="spellStart"/>
            <w:r w:rsidRPr="00846794">
              <w:rPr>
                <w:i/>
                <w:sz w:val="20"/>
                <w:szCs w:val="20"/>
              </w:rPr>
              <w:t>resourceType</w:t>
            </w:r>
            <w:proofErr w:type="spellEnd"/>
            <w:r w:rsidRPr="00846794">
              <w:rPr>
                <w:i/>
                <w:color w:val="000000"/>
                <w:sz w:val="20"/>
                <w:szCs w:val="20"/>
              </w:rPr>
              <w:t xml:space="preserve"> </w:t>
            </w:r>
            <w:r w:rsidRPr="00846794">
              <w:rPr>
                <w:color w:val="000000"/>
                <w:sz w:val="20"/>
                <w:szCs w:val="20"/>
              </w:rPr>
              <w:t>in</w:t>
            </w:r>
            <w:r w:rsidRPr="00846794">
              <w:rPr>
                <w:i/>
                <w:color w:val="000000"/>
                <w:sz w:val="20"/>
                <w:szCs w:val="20"/>
              </w:rPr>
              <w:t xml:space="preserve"> SRS-Resource</w:t>
            </w:r>
            <w:r w:rsidRPr="00846794">
              <w:rPr>
                <w:sz w:val="20"/>
                <w:szCs w:val="20"/>
              </w:rPr>
              <w:t xml:space="preserve"> or </w:t>
            </w:r>
            <w:r w:rsidRPr="00846794">
              <w:rPr>
                <w:i/>
                <w:color w:val="000000"/>
                <w:sz w:val="20"/>
                <w:szCs w:val="20"/>
              </w:rPr>
              <w:t>SRS-</w:t>
            </w:r>
            <w:proofErr w:type="spellStart"/>
            <w:r w:rsidRPr="00846794">
              <w:rPr>
                <w:i/>
                <w:color w:val="000000"/>
                <w:sz w:val="20"/>
                <w:szCs w:val="20"/>
              </w:rPr>
              <w:t>PosResource</w:t>
            </w:r>
            <w:proofErr w:type="spellEnd"/>
            <w:r w:rsidRPr="00846794">
              <w:rPr>
                <w:sz w:val="20"/>
                <w:szCs w:val="20"/>
              </w:rPr>
              <w:t xml:space="preserve"> </w:t>
            </w:r>
            <w:r w:rsidRPr="00846794">
              <w:rPr>
                <w:rFonts w:eastAsia="MS Mincho"/>
                <w:sz w:val="20"/>
                <w:szCs w:val="20"/>
              </w:rPr>
              <w:t>is set to 'aperiodic':</w:t>
            </w:r>
          </w:p>
          <w:p w14:paraId="607306B0" w14:textId="77777777" w:rsidR="00846794" w:rsidRPr="00846794" w:rsidRDefault="00846794" w:rsidP="00846794">
            <w:pPr>
              <w:pStyle w:val="B1"/>
              <w:snapToGrid w:val="0"/>
              <w:ind w:left="1440" w:hanging="480"/>
              <w:rPr>
                <w:rFonts w:eastAsia="MS Mincho"/>
                <w:sz w:val="20"/>
                <w:szCs w:val="20"/>
              </w:rPr>
            </w:pPr>
            <w:r w:rsidRPr="00846794">
              <w:rPr>
                <w:sz w:val="20"/>
                <w:szCs w:val="20"/>
              </w:rPr>
              <w:t>-</w:t>
            </w:r>
            <w:r w:rsidRPr="00846794">
              <w:rPr>
                <w:sz w:val="20"/>
                <w:szCs w:val="20"/>
              </w:rPr>
              <w:tab/>
              <w:t>the UE receives a configuration of SRS resource sets,</w:t>
            </w:r>
          </w:p>
          <w:p w14:paraId="37D475CA" w14:textId="375BE01F" w:rsidR="00846794" w:rsidRPr="00846794" w:rsidRDefault="00846794" w:rsidP="00846794">
            <w:pPr>
              <w:pStyle w:val="B1"/>
              <w:snapToGrid w:val="0"/>
              <w:ind w:left="1440" w:hanging="480"/>
              <w:rPr>
                <w:sz w:val="20"/>
                <w:szCs w:val="20"/>
              </w:rPr>
            </w:pPr>
            <w:r w:rsidRPr="00846794">
              <w:rPr>
                <w:sz w:val="20"/>
                <w:szCs w:val="20"/>
              </w:rPr>
              <w:t>-</w:t>
            </w:r>
            <w:r w:rsidRPr="00846794">
              <w:rPr>
                <w:sz w:val="20"/>
                <w:szCs w:val="20"/>
              </w:rPr>
              <w:tab/>
              <w:t>the UE receives a downlink DCI, a group common DCI, or an uplink DCI based command where a codepoint of the DCI may trigger one or more SRS resource set(s). For SRS in a resource set with usage set to 'code</w:t>
            </w:r>
            <w:bookmarkStart w:id="9" w:name="_GoBack"/>
            <w:bookmarkEnd w:id="9"/>
            <w:r w:rsidRPr="00846794">
              <w:rPr>
                <w:sz w:val="20"/>
                <w:szCs w:val="20"/>
              </w:rPr>
              <w:t>book' or '</w:t>
            </w:r>
            <w:proofErr w:type="spellStart"/>
            <w:r w:rsidRPr="00846794">
              <w:rPr>
                <w:sz w:val="20"/>
                <w:szCs w:val="20"/>
              </w:rPr>
              <w:t>antennaSwitching</w:t>
            </w:r>
            <w:proofErr w:type="spellEnd"/>
            <w:r w:rsidRPr="00846794">
              <w:rPr>
                <w:sz w:val="20"/>
                <w:szCs w:val="20"/>
              </w:rPr>
              <w:t xml:space="preserve">', the minimal time interval between the last symbol of the PDCCH triggering the aperiodic SRS transmission and the first symbol of SRS resource is </w:t>
            </w:r>
            <w:r w:rsidRPr="00846794">
              <w:rPr>
                <w:i/>
                <w:sz w:val="20"/>
                <w:szCs w:val="20"/>
              </w:rPr>
              <w:t>N</w:t>
            </w:r>
            <w:r w:rsidRPr="00846794">
              <w:rPr>
                <w:i/>
                <w:sz w:val="20"/>
                <w:szCs w:val="20"/>
                <w:vertAlign w:val="subscript"/>
              </w:rPr>
              <w:t xml:space="preserve">2 </w:t>
            </w:r>
            <w:r w:rsidRPr="00846794">
              <w:rPr>
                <w:sz w:val="20"/>
                <w:szCs w:val="20"/>
              </w:rPr>
              <w:t xml:space="preserve">symbols and an additional time duration </w:t>
            </w:r>
            <w:proofErr w:type="spellStart"/>
            <w:r w:rsidRPr="00846794">
              <w:rPr>
                <w:i/>
                <w:sz w:val="20"/>
                <w:szCs w:val="20"/>
              </w:rPr>
              <w:t>T</w:t>
            </w:r>
            <w:r w:rsidRPr="00846794">
              <w:rPr>
                <w:i/>
                <w:sz w:val="20"/>
                <w:szCs w:val="20"/>
                <w:vertAlign w:val="subscript"/>
              </w:rPr>
              <w:t>switch</w:t>
            </w:r>
            <w:proofErr w:type="spellEnd"/>
            <w:r w:rsidRPr="00846794">
              <w:rPr>
                <w:sz w:val="20"/>
                <w:szCs w:val="20"/>
              </w:rPr>
              <w:t xml:space="preserve">. Otherwise, the </w:t>
            </w:r>
            <w:r w:rsidRPr="00846794">
              <w:rPr>
                <w:sz w:val="20"/>
                <w:szCs w:val="20"/>
              </w:rPr>
              <w:lastRenderedPageBreak/>
              <w:t xml:space="preserve">minimal time interval between the last symbol of the PDCCH triggering the aperiodic SRS transmission and the first symbol of SRS resource is </w:t>
            </w:r>
            <w:r w:rsidRPr="00846794">
              <w:rPr>
                <w:i/>
                <w:sz w:val="20"/>
                <w:szCs w:val="20"/>
              </w:rPr>
              <w:t>N</w:t>
            </w:r>
            <w:r w:rsidRPr="00846794">
              <w:rPr>
                <w:i/>
                <w:sz w:val="20"/>
                <w:szCs w:val="20"/>
                <w:vertAlign w:val="subscript"/>
              </w:rPr>
              <w:t>2</w:t>
            </w:r>
            <w:r w:rsidRPr="00846794">
              <w:rPr>
                <w:sz w:val="20"/>
                <w:szCs w:val="20"/>
              </w:rPr>
              <w:t xml:space="preserve"> +14 symbols and an additional time duration </w:t>
            </w:r>
            <w:proofErr w:type="spellStart"/>
            <w:r w:rsidRPr="00846794">
              <w:rPr>
                <w:i/>
                <w:sz w:val="20"/>
                <w:szCs w:val="20"/>
              </w:rPr>
              <w:t>T</w:t>
            </w:r>
            <w:r w:rsidRPr="00846794">
              <w:rPr>
                <w:i/>
                <w:sz w:val="20"/>
                <w:szCs w:val="20"/>
                <w:vertAlign w:val="subscript"/>
              </w:rPr>
              <w:t>switch</w:t>
            </w:r>
            <w:proofErr w:type="spellEnd"/>
            <w:r w:rsidRPr="00846794">
              <w:rPr>
                <w:sz w:val="20"/>
                <w:szCs w:val="20"/>
              </w:rPr>
              <w:t xml:space="preserve">. </w:t>
            </w:r>
            <w:r w:rsidRPr="00846794">
              <w:rPr>
                <w:rFonts w:hint="eastAsia"/>
                <w:sz w:val="20"/>
                <w:szCs w:val="20"/>
              </w:rPr>
              <w:t>T</w:t>
            </w:r>
            <w:r w:rsidRPr="00846794">
              <w:rPr>
                <w:sz w:val="20"/>
                <w:szCs w:val="20"/>
              </w:rPr>
              <w:t xml:space="preserve">he minimal time interval unit of OFDM symbol is counted based on the minimum subcarrier spacing given by </w:t>
            </w:r>
            <w:proofErr w:type="gramStart"/>
            <w:r w:rsidRPr="00846794">
              <w:rPr>
                <w:sz w:val="20"/>
                <w:szCs w:val="20"/>
              </w:rPr>
              <w:t>min(</w:t>
            </w:r>
            <w:proofErr w:type="gramEnd"/>
            <w:r w:rsidRPr="00846794">
              <w:rPr>
                <w:i/>
                <w:sz w:val="20"/>
                <w:szCs w:val="20"/>
              </w:rPr>
              <w:t>µ</w:t>
            </w:r>
            <w:r w:rsidRPr="00846794">
              <w:rPr>
                <w:i/>
                <w:sz w:val="20"/>
                <w:szCs w:val="20"/>
                <w:vertAlign w:val="subscript"/>
              </w:rPr>
              <w:t>PDCCH,</w:t>
            </w:r>
            <w:r w:rsidRPr="00846794">
              <w:rPr>
                <w:i/>
                <w:sz w:val="20"/>
                <w:szCs w:val="20"/>
              </w:rPr>
              <w:t xml:space="preserve"> µ</w:t>
            </w:r>
            <w:r w:rsidRPr="00846794">
              <w:rPr>
                <w:i/>
                <w:sz w:val="20"/>
                <w:szCs w:val="20"/>
                <w:vertAlign w:val="subscript"/>
              </w:rPr>
              <w:t>UL</w:t>
            </w:r>
            <w:r w:rsidRPr="00846794">
              <w:rPr>
                <w:sz w:val="20"/>
                <w:szCs w:val="20"/>
              </w:rPr>
              <w:t xml:space="preserve">) where </w:t>
            </w:r>
            <w:r w:rsidRPr="00846794">
              <w:rPr>
                <w:i/>
                <w:sz w:val="20"/>
                <w:szCs w:val="20"/>
              </w:rPr>
              <w:t>µ</w:t>
            </w:r>
            <w:r w:rsidRPr="00846794">
              <w:rPr>
                <w:i/>
                <w:sz w:val="20"/>
                <w:szCs w:val="20"/>
                <w:vertAlign w:val="subscript"/>
              </w:rPr>
              <w:t>UL</w:t>
            </w:r>
            <w:r w:rsidRPr="00846794">
              <w:rPr>
                <w:sz w:val="20"/>
                <w:szCs w:val="20"/>
              </w:rPr>
              <w:t xml:space="preserve"> is given by min(</w:t>
            </w:r>
            <w:r w:rsidRPr="00846794">
              <w:rPr>
                <w:i/>
                <w:sz w:val="20"/>
                <w:szCs w:val="20"/>
              </w:rPr>
              <w:t>µ</w:t>
            </w:r>
            <w:r w:rsidRPr="00846794">
              <w:rPr>
                <w:i/>
                <w:sz w:val="20"/>
                <w:szCs w:val="20"/>
                <w:vertAlign w:val="subscript"/>
              </w:rPr>
              <w:t>UL,carrier1,</w:t>
            </w:r>
            <w:r w:rsidRPr="00846794">
              <w:rPr>
                <w:i/>
                <w:sz w:val="20"/>
                <w:szCs w:val="20"/>
              </w:rPr>
              <w:t xml:space="preserve"> µ</w:t>
            </w:r>
            <w:r w:rsidRPr="00846794">
              <w:rPr>
                <w:i/>
                <w:sz w:val="20"/>
                <w:szCs w:val="20"/>
                <w:vertAlign w:val="subscript"/>
              </w:rPr>
              <w:t>UL,carrier2,</w:t>
            </w:r>
            <w:r w:rsidRPr="00846794">
              <w:rPr>
                <w:i/>
                <w:sz w:val="20"/>
                <w:szCs w:val="20"/>
              </w:rPr>
              <w:t xml:space="preserve"> µ</w:t>
            </w:r>
            <w:r w:rsidRPr="00846794">
              <w:rPr>
                <w:i/>
                <w:sz w:val="20"/>
                <w:szCs w:val="20"/>
                <w:vertAlign w:val="subscript"/>
              </w:rPr>
              <w:t>SRS</w:t>
            </w:r>
            <w:r w:rsidRPr="00846794">
              <w:rPr>
                <w:sz w:val="20"/>
                <w:szCs w:val="20"/>
              </w:rPr>
              <w:t xml:space="preserve">) when the UE is configured with the higher layer parameter </w:t>
            </w:r>
            <w:proofErr w:type="spellStart"/>
            <w:r w:rsidRPr="00846794">
              <w:rPr>
                <w:i/>
                <w:iCs/>
                <w:sz w:val="20"/>
                <w:szCs w:val="20"/>
              </w:rPr>
              <w:t>uplinkTxSwitchingOption</w:t>
            </w:r>
            <w:proofErr w:type="spellEnd"/>
            <w:r w:rsidRPr="00846794">
              <w:rPr>
                <w:iCs/>
                <w:sz w:val="20"/>
                <w:szCs w:val="20"/>
              </w:rPr>
              <w:t xml:space="preserve"> set to '</w:t>
            </w:r>
            <w:proofErr w:type="spellStart"/>
            <w:r w:rsidRPr="00846794">
              <w:rPr>
                <w:iCs/>
                <w:sz w:val="20"/>
                <w:szCs w:val="20"/>
              </w:rPr>
              <w:t>dualUL</w:t>
            </w:r>
            <w:proofErr w:type="spellEnd"/>
            <w:r w:rsidRPr="00846794">
              <w:rPr>
                <w:iCs/>
                <w:sz w:val="20"/>
                <w:szCs w:val="20"/>
              </w:rPr>
              <w:t>' for uplink carrier aggregation</w:t>
            </w:r>
            <w:r w:rsidRPr="00846794">
              <w:rPr>
                <w:sz w:val="20"/>
                <w:szCs w:val="20"/>
              </w:rPr>
              <w:t xml:space="preserve">, </w:t>
            </w:r>
            <w:r w:rsidRPr="00846794">
              <w:rPr>
                <w:iCs/>
                <w:sz w:val="20"/>
                <w:szCs w:val="20"/>
              </w:rPr>
              <w:t xml:space="preserve">and by </w:t>
            </w:r>
            <w:r w:rsidRPr="00846794">
              <w:rPr>
                <w:i/>
                <w:sz w:val="20"/>
                <w:szCs w:val="20"/>
              </w:rPr>
              <w:t>µ</w:t>
            </w:r>
            <w:r w:rsidRPr="00846794">
              <w:rPr>
                <w:i/>
                <w:sz w:val="20"/>
                <w:szCs w:val="20"/>
                <w:vertAlign w:val="subscript"/>
              </w:rPr>
              <w:t>SRS</w:t>
            </w:r>
            <w:r w:rsidRPr="00846794">
              <w:rPr>
                <w:iCs/>
                <w:sz w:val="20"/>
                <w:szCs w:val="20"/>
                <w:vertAlign w:val="subscript"/>
              </w:rPr>
              <w:t xml:space="preserve"> </w:t>
            </w:r>
            <w:r w:rsidRPr="00846794">
              <w:rPr>
                <w:sz w:val="20"/>
                <w:szCs w:val="20"/>
              </w:rPr>
              <w:t xml:space="preserve">otherwise. </w:t>
            </w:r>
            <w:r w:rsidRPr="00846794">
              <w:rPr>
                <w:i/>
                <w:sz w:val="20"/>
                <w:szCs w:val="20"/>
              </w:rPr>
              <w:t>µ</w:t>
            </w:r>
            <w:r w:rsidRPr="00846794">
              <w:rPr>
                <w:i/>
                <w:sz w:val="20"/>
                <w:szCs w:val="20"/>
                <w:vertAlign w:val="subscript"/>
              </w:rPr>
              <w:t>SRS</w:t>
            </w:r>
            <w:r w:rsidRPr="00846794">
              <w:rPr>
                <w:iCs/>
                <w:sz w:val="20"/>
                <w:szCs w:val="20"/>
              </w:rPr>
              <w:t xml:space="preserve"> and </w:t>
            </w:r>
            <w:r w:rsidRPr="00846794">
              <w:rPr>
                <w:i/>
                <w:sz w:val="20"/>
                <w:szCs w:val="20"/>
              </w:rPr>
              <w:t>µ</w:t>
            </w:r>
            <w:r w:rsidRPr="00846794">
              <w:rPr>
                <w:i/>
                <w:sz w:val="20"/>
                <w:szCs w:val="20"/>
                <w:vertAlign w:val="subscript"/>
              </w:rPr>
              <w:t>PDCCH</w:t>
            </w:r>
            <w:r w:rsidRPr="00846794">
              <w:rPr>
                <w:iCs/>
                <w:sz w:val="20"/>
                <w:szCs w:val="20"/>
                <w:vertAlign w:val="subscript"/>
              </w:rPr>
              <w:t xml:space="preserve"> </w:t>
            </w:r>
            <w:r w:rsidRPr="00846794">
              <w:rPr>
                <w:sz w:val="20"/>
                <w:szCs w:val="20"/>
              </w:rPr>
              <w:t xml:space="preserve">are the subcarrier spacing configurations for triggered SRS and PDCCH carrying the triggering command respectively. </w:t>
            </w:r>
          </w:p>
          <w:p w14:paraId="7B87BC5B" w14:textId="148E5E9A" w:rsidR="00885CB1" w:rsidRPr="00846794" w:rsidRDefault="00885CB1" w:rsidP="00846794">
            <w:pPr>
              <w:snapToGrid w:val="0"/>
              <w:jc w:val="both"/>
              <w:rPr>
                <w:b/>
                <w:iCs/>
                <w:sz w:val="20"/>
                <w:szCs w:val="20"/>
              </w:rPr>
            </w:pPr>
          </w:p>
          <w:p w14:paraId="2151EB4B" w14:textId="77777777" w:rsidR="00885CB1" w:rsidRPr="00846794" w:rsidRDefault="00885CB1" w:rsidP="00846794">
            <w:pPr>
              <w:snapToGrid w:val="0"/>
              <w:jc w:val="both"/>
              <w:rPr>
                <w:b/>
                <w:iCs/>
                <w:sz w:val="20"/>
                <w:szCs w:val="20"/>
              </w:rPr>
            </w:pPr>
            <w:r w:rsidRPr="00846794">
              <w:rPr>
                <w:b/>
                <w:iCs/>
                <w:sz w:val="20"/>
                <w:szCs w:val="20"/>
              </w:rPr>
              <w:t>6.2.1.4.1</w:t>
            </w:r>
            <w:r w:rsidRPr="00846794">
              <w:rPr>
                <w:b/>
                <w:iCs/>
                <w:sz w:val="20"/>
                <w:szCs w:val="20"/>
              </w:rPr>
              <w:tab/>
              <w:t xml:space="preserve"> SRS frequency hopping for positioning</w:t>
            </w:r>
          </w:p>
          <w:p w14:paraId="3309ECA5" w14:textId="6CB796C7" w:rsidR="00885CB1" w:rsidRPr="00846794" w:rsidRDefault="00DB5A60" w:rsidP="00846794">
            <w:pPr>
              <w:snapToGrid w:val="0"/>
              <w:rPr>
                <w:sz w:val="20"/>
                <w:szCs w:val="20"/>
              </w:rPr>
            </w:pPr>
            <w:r w:rsidRPr="00846794">
              <w:rPr>
                <w:sz w:val="20"/>
                <w:szCs w:val="20"/>
              </w:rPr>
              <w:t xml:space="preserve">For aperiodic positioning SRS with Tx frequency hopping, the minimal time interval between the last symbol of the PDCCH triggering the aperiodic SRS transmission and the first symbol of SRS resource is </w:t>
            </w:r>
            <w:r w:rsidRPr="00846794">
              <w:rPr>
                <w:i/>
                <w:iCs/>
                <w:sz w:val="20"/>
                <w:szCs w:val="20"/>
              </w:rPr>
              <w:t>N</w:t>
            </w:r>
            <w:r w:rsidRPr="00846794">
              <w:rPr>
                <w:i/>
                <w:iCs/>
                <w:sz w:val="20"/>
                <w:szCs w:val="20"/>
                <w:vertAlign w:val="subscript"/>
              </w:rPr>
              <w:t>2</w:t>
            </w:r>
            <w:r w:rsidRPr="00846794">
              <w:rPr>
                <w:sz w:val="20"/>
                <w:szCs w:val="20"/>
              </w:rPr>
              <w:t xml:space="preserve"> symbols and an additional time duration corresponding to the switching time from the active uplink BWP.</w:t>
            </w:r>
          </w:p>
          <w:p w14:paraId="16223C93" w14:textId="779F3D91" w:rsidR="00885CB1" w:rsidRPr="00846794" w:rsidRDefault="00885CB1" w:rsidP="00846794">
            <w:pPr>
              <w:snapToGrid w:val="0"/>
              <w:jc w:val="both"/>
              <w:rPr>
                <w:rFonts w:eastAsia="等线"/>
                <w:sz w:val="20"/>
                <w:szCs w:val="20"/>
                <w:lang w:bidi="ar"/>
              </w:rPr>
            </w:pPr>
          </w:p>
        </w:tc>
      </w:tr>
    </w:tbl>
    <w:p w14:paraId="0D99DF7C" w14:textId="594104D7" w:rsidR="00A17EDA" w:rsidRPr="00A924FC" w:rsidRDefault="00846794" w:rsidP="00F83C1E">
      <w:pPr>
        <w:snapToGrid w:val="0"/>
        <w:spacing w:beforeLines="50" w:before="180" w:afterLines="50" w:after="180"/>
        <w:jc w:val="both"/>
        <w:rPr>
          <w:rFonts w:eastAsia="等线"/>
          <w:sz w:val="20"/>
          <w:szCs w:val="20"/>
          <w:lang w:bidi="ar"/>
        </w:rPr>
      </w:pPr>
      <w:r>
        <w:rPr>
          <w:rFonts w:eastAsia="等线" w:hint="eastAsia"/>
          <w:sz w:val="20"/>
          <w:szCs w:val="20"/>
          <w:lang w:bidi="ar"/>
        </w:rPr>
        <w:lastRenderedPageBreak/>
        <w:t>B</w:t>
      </w:r>
      <w:r>
        <w:rPr>
          <w:rFonts w:eastAsia="等线"/>
          <w:sz w:val="20"/>
          <w:szCs w:val="20"/>
          <w:lang w:bidi="ar"/>
        </w:rPr>
        <w:t>ased on the above analysis, we support the following conclusion:</w:t>
      </w:r>
    </w:p>
    <w:p w14:paraId="1DA4433F" w14:textId="2AB4C018" w:rsidR="00D31BEE" w:rsidRDefault="00846794" w:rsidP="00F83C1E">
      <w:pPr>
        <w:snapToGrid w:val="0"/>
        <w:spacing w:beforeLines="50" w:before="180" w:afterLines="50" w:after="180"/>
        <w:jc w:val="both"/>
        <w:rPr>
          <w:rFonts w:eastAsia="等线"/>
          <w:sz w:val="20"/>
          <w:szCs w:val="20"/>
          <w:lang w:bidi="ar"/>
        </w:rPr>
      </w:pPr>
      <w:r w:rsidRPr="00846794">
        <w:rPr>
          <w:rFonts w:eastAsia="等线" w:hint="eastAsia"/>
          <w:b/>
          <w:sz w:val="20"/>
          <w:szCs w:val="20"/>
          <w:lang w:bidi="ar"/>
        </w:rPr>
        <w:t>C</w:t>
      </w:r>
      <w:r w:rsidRPr="00846794">
        <w:rPr>
          <w:rFonts w:eastAsia="等线"/>
          <w:b/>
          <w:sz w:val="20"/>
          <w:szCs w:val="20"/>
          <w:lang w:bidi="ar"/>
        </w:rPr>
        <w:t>onclusion</w:t>
      </w:r>
      <w:r>
        <w:rPr>
          <w:rFonts w:eastAsia="等线"/>
          <w:sz w:val="20"/>
          <w:szCs w:val="20"/>
          <w:lang w:bidi="ar"/>
        </w:rPr>
        <w:t xml:space="preserve">: </w:t>
      </w:r>
      <w:r w:rsidR="00F537A6">
        <w:rPr>
          <w:rFonts w:eastAsia="等线"/>
          <w:sz w:val="20"/>
          <w:szCs w:val="20"/>
          <w:lang w:bidi="ar"/>
        </w:rPr>
        <w:t xml:space="preserve">Do not pursue the CR on active semi-persistent SRS resource. </w:t>
      </w:r>
    </w:p>
    <w:p w14:paraId="3D109F00" w14:textId="77777777" w:rsidR="00D31BEE" w:rsidRPr="00F83C1E" w:rsidRDefault="00D31BEE" w:rsidP="00F83C1E">
      <w:pPr>
        <w:snapToGrid w:val="0"/>
        <w:spacing w:beforeLines="50" w:before="180" w:afterLines="50" w:after="180"/>
        <w:jc w:val="both"/>
        <w:rPr>
          <w:rFonts w:eastAsia="等线"/>
          <w:sz w:val="20"/>
          <w:szCs w:val="20"/>
          <w:lang w:bidi="ar"/>
        </w:rPr>
      </w:pPr>
    </w:p>
    <w:p w14:paraId="3A09DF46" w14:textId="77777777" w:rsidR="0019358D" w:rsidRDefault="00BD6C88">
      <w:pPr>
        <w:pStyle w:val="1"/>
        <w:snapToGrid w:val="0"/>
        <w:spacing w:before="120" w:afterLines="50" w:after="180"/>
        <w:ind w:left="431" w:hanging="431"/>
        <w:jc w:val="both"/>
        <w:rPr>
          <w:sz w:val="28"/>
          <w:lang w:val="en-US"/>
        </w:rPr>
      </w:pPr>
      <w:r>
        <w:rPr>
          <w:sz w:val="28"/>
          <w:lang w:val="en-US"/>
        </w:rPr>
        <w:t>Conclusion</w:t>
      </w:r>
    </w:p>
    <w:p w14:paraId="27C75FE4" w14:textId="34870639" w:rsidR="0019358D" w:rsidRDefault="00BD6C88">
      <w:pPr>
        <w:snapToGrid w:val="0"/>
        <w:rPr>
          <w:sz w:val="20"/>
          <w:szCs w:val="20"/>
        </w:rPr>
      </w:pPr>
      <w:r>
        <w:rPr>
          <w:sz w:val="20"/>
          <w:szCs w:val="20"/>
        </w:rPr>
        <w:t xml:space="preserve">In this contribution, we provide our views on </w:t>
      </w:r>
      <w:r w:rsidR="00846794">
        <w:rPr>
          <w:sz w:val="20"/>
          <w:szCs w:val="20"/>
        </w:rPr>
        <w:t>whether a CR is needed for active semi-persistent SRS and the following conclusion is suggested:</w:t>
      </w:r>
    </w:p>
    <w:p w14:paraId="3B067D0B" w14:textId="6BD1C918" w:rsidR="00846794" w:rsidRPr="00F537A6" w:rsidRDefault="00F537A6" w:rsidP="00F537A6">
      <w:pPr>
        <w:snapToGrid w:val="0"/>
        <w:spacing w:beforeLines="50" w:before="180" w:afterLines="50" w:after="180"/>
        <w:jc w:val="both"/>
        <w:rPr>
          <w:rFonts w:eastAsia="等线"/>
          <w:sz w:val="20"/>
          <w:szCs w:val="20"/>
          <w:lang w:bidi="ar"/>
        </w:rPr>
      </w:pPr>
      <w:r w:rsidRPr="00846794">
        <w:rPr>
          <w:rFonts w:eastAsia="等线" w:hint="eastAsia"/>
          <w:b/>
          <w:sz w:val="20"/>
          <w:szCs w:val="20"/>
          <w:lang w:bidi="ar"/>
        </w:rPr>
        <w:t>C</w:t>
      </w:r>
      <w:r w:rsidRPr="00846794">
        <w:rPr>
          <w:rFonts w:eastAsia="等线"/>
          <w:b/>
          <w:sz w:val="20"/>
          <w:szCs w:val="20"/>
          <w:lang w:bidi="ar"/>
        </w:rPr>
        <w:t>onclusion</w:t>
      </w:r>
      <w:r>
        <w:rPr>
          <w:rFonts w:eastAsia="等线"/>
          <w:sz w:val="20"/>
          <w:szCs w:val="20"/>
          <w:lang w:bidi="ar"/>
        </w:rPr>
        <w:t xml:space="preserve">: Do not pursue the CR on active semi-persistent SRS resource. </w:t>
      </w:r>
    </w:p>
    <w:p w14:paraId="26B6710A" w14:textId="77777777" w:rsidR="0019358D" w:rsidRPr="00BA77AA" w:rsidRDefault="0019358D">
      <w:pPr>
        <w:rPr>
          <w:sz w:val="20"/>
        </w:rPr>
      </w:pPr>
    </w:p>
    <w:p w14:paraId="401B63DA" w14:textId="77777777" w:rsidR="0019358D" w:rsidRDefault="00BD6C88">
      <w:pPr>
        <w:pStyle w:val="1"/>
        <w:snapToGrid w:val="0"/>
        <w:spacing w:before="120" w:afterLines="50" w:after="180"/>
        <w:ind w:left="431" w:hanging="431"/>
        <w:jc w:val="both"/>
        <w:rPr>
          <w:sz w:val="28"/>
          <w:lang w:val="en-US"/>
        </w:rPr>
      </w:pPr>
      <w:r>
        <w:rPr>
          <w:sz w:val="28"/>
          <w:lang w:val="en-US"/>
        </w:rPr>
        <w:t>Reference</w:t>
      </w:r>
    </w:p>
    <w:p w14:paraId="41BB1356" w14:textId="33084644" w:rsidR="0019358D" w:rsidRPr="00846794" w:rsidRDefault="00846794" w:rsidP="00846794">
      <w:pPr>
        <w:numPr>
          <w:ilvl w:val="0"/>
          <w:numId w:val="12"/>
        </w:numPr>
        <w:autoSpaceDE w:val="0"/>
        <w:autoSpaceDN w:val="0"/>
        <w:adjustRightInd w:val="0"/>
        <w:snapToGrid w:val="0"/>
        <w:jc w:val="both"/>
        <w:rPr>
          <w:sz w:val="20"/>
          <w:szCs w:val="20"/>
        </w:rPr>
      </w:pPr>
      <w:r w:rsidRPr="00846794">
        <w:rPr>
          <w:sz w:val="20"/>
          <w:szCs w:val="20"/>
        </w:rPr>
        <w:t>R1-2407841</w:t>
      </w:r>
      <w:r w:rsidRPr="00846794">
        <w:rPr>
          <w:sz w:val="20"/>
          <w:szCs w:val="20"/>
        </w:rPr>
        <w:tab/>
        <w:t>Draft CR on active semi-persistent SRS resource configuration</w:t>
      </w:r>
      <w:r w:rsidRPr="00846794">
        <w:rPr>
          <w:sz w:val="20"/>
          <w:szCs w:val="20"/>
        </w:rPr>
        <w:tab/>
        <w:t>vivo</w:t>
      </w:r>
    </w:p>
    <w:sectPr w:rsidR="0019358D" w:rsidRPr="00846794">
      <w:footerReference w:type="default" r:id="rId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DE691" w14:textId="77777777" w:rsidR="006874BC" w:rsidRDefault="006874BC">
      <w:r>
        <w:separator/>
      </w:r>
    </w:p>
  </w:endnote>
  <w:endnote w:type="continuationSeparator" w:id="0">
    <w:p w14:paraId="46470325" w14:textId="77777777" w:rsidR="006874BC" w:rsidRDefault="0068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4D961DDF" w14:textId="77777777" w:rsidR="00C160DE" w:rsidRDefault="00C160DE">
        <w:pPr>
          <w:pStyle w:val="af5"/>
          <w:jc w:val="center"/>
        </w:pPr>
        <w:r>
          <w:fldChar w:fldCharType="begin"/>
        </w:r>
        <w:r>
          <w:instrText xml:space="preserve"> PAGE   \* MERGEFORMAT </w:instrText>
        </w:r>
        <w:r>
          <w:fldChar w:fldCharType="separate"/>
        </w:r>
        <w:r>
          <w:rPr>
            <w:lang w:val="zh-CN"/>
          </w:rPr>
          <w:t>1</w:t>
        </w:r>
        <w:r>
          <w:rPr>
            <w:lang w:val="zh-CN"/>
          </w:rPr>
          <w:fldChar w:fldCharType="end"/>
        </w:r>
      </w:p>
    </w:sdtContent>
  </w:sdt>
  <w:p w14:paraId="1304CFCD" w14:textId="77777777" w:rsidR="00C160DE" w:rsidRDefault="00C160D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E3B4D" w14:textId="77777777" w:rsidR="006874BC" w:rsidRDefault="006874BC">
      <w:r>
        <w:separator/>
      </w:r>
    </w:p>
  </w:footnote>
  <w:footnote w:type="continuationSeparator" w:id="0">
    <w:p w14:paraId="3FA0E7D3" w14:textId="77777777" w:rsidR="006874BC" w:rsidRDefault="00687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等线"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66487"/>
    <w:multiLevelType w:val="multilevel"/>
    <w:tmpl w:val="09A66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5741D7"/>
    <w:multiLevelType w:val="multilevel"/>
    <w:tmpl w:val="0F5741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7511131"/>
    <w:multiLevelType w:val="multilevel"/>
    <w:tmpl w:val="27511131"/>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9" w15:restartNumberingAfterBreak="0">
    <w:nsid w:val="385E3EC7"/>
    <w:multiLevelType w:val="multilevel"/>
    <w:tmpl w:val="385E3EC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93D5063"/>
    <w:multiLevelType w:val="multilevel"/>
    <w:tmpl w:val="593D5063"/>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D75A0C"/>
    <w:multiLevelType w:val="hybridMultilevel"/>
    <w:tmpl w:val="356A756E"/>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EF9305D"/>
    <w:multiLevelType w:val="multilevel"/>
    <w:tmpl w:val="5EF9305D"/>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63BA1E53"/>
    <w:multiLevelType w:val="hybridMultilevel"/>
    <w:tmpl w:val="346C71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764502"/>
    <w:multiLevelType w:val="hybridMultilevel"/>
    <w:tmpl w:val="1D1034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10"/>
  </w:num>
  <w:num w:numId="4">
    <w:abstractNumId w:val="15"/>
  </w:num>
  <w:num w:numId="5">
    <w:abstractNumId w:val="4"/>
  </w:num>
  <w:num w:numId="6">
    <w:abstractNumId w:val="8"/>
  </w:num>
  <w:num w:numId="7">
    <w:abstractNumId w:val="12"/>
  </w:num>
  <w:num w:numId="8">
    <w:abstractNumId w:val="5"/>
  </w:num>
  <w:num w:numId="9">
    <w:abstractNumId w:val="9"/>
  </w:num>
  <w:num w:numId="10">
    <w:abstractNumId w:val="13"/>
  </w:num>
  <w:num w:numId="11">
    <w:abstractNumId w:val="17"/>
  </w:num>
  <w:num w:numId="12">
    <w:abstractNumId w:val="0"/>
  </w:num>
  <w:num w:numId="13">
    <w:abstractNumId w:val="3"/>
  </w:num>
  <w:num w:numId="14">
    <w:abstractNumId w:val="7"/>
  </w:num>
  <w:num w:numId="15">
    <w:abstractNumId w:val="2"/>
  </w:num>
  <w:num w:numId="16">
    <w:abstractNumId w:val="1"/>
  </w:num>
  <w:num w:numId="17">
    <w:abstractNumId w:val="6"/>
  </w:num>
  <w:num w:numId="18">
    <w:abstractNumId w:val="19"/>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3E7"/>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77"/>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5B"/>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44B"/>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2ED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4A"/>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1D0"/>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B0F"/>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0B7"/>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CA6"/>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A2E"/>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7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4BC"/>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A3"/>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EC"/>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B31"/>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79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CB1"/>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26C"/>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8F3"/>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17EDA"/>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801"/>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202"/>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3E"/>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4FC"/>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7A"/>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9B"/>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7FE"/>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FE"/>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BEE"/>
    <w:rsid w:val="00D31D04"/>
    <w:rsid w:val="00D31EBF"/>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A60"/>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773"/>
    <w:rsid w:val="00DC78A5"/>
    <w:rsid w:val="00DC793B"/>
    <w:rsid w:val="00DC79B5"/>
    <w:rsid w:val="00DC7A92"/>
    <w:rsid w:val="00DC7D83"/>
    <w:rsid w:val="00DC7F7C"/>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34"/>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2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8AB"/>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AC2"/>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A7EB4"/>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6FAF"/>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7A6"/>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1E"/>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37A"/>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232CB"/>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430E5"/>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B0E9A6"/>
  <w15:docId w15:val="{4341C129-A312-40C4-A1B9-7C96648A8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aliases w:val="Table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nhideWhenUsed/>
    <w:qFormat/>
    <w:rPr>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4">
    <w:name w:val="批注框文本 字符"/>
    <w:link w:val="af3"/>
    <w:uiPriority w:val="99"/>
    <w:semiHidden/>
    <w:qFormat/>
    <w:rPr>
      <w:rFonts w:ascii="Tahoma" w:hAnsi="Tahoma" w:cs="Tahoma"/>
      <w:sz w:val="16"/>
      <w:szCs w:val="16"/>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列出段落,- Bullets,?? ??,?????,????,Lista1,リスト段落,中等深浅网格 1 - 着色 21,목록 단락,¥¡¡¡¡ì¬º¥¹¥È¶ÎÂä,ÁÐ³ö¶ÎÂä,¥ê¥¹¥È¶ÎÂä,列表段落1,—ño’i—Ž,1st level - Bullet List Paragraph,Lettre d'introduction,Paragrafo elenco,Normal bullet 2,Bullet list,列表段落11,목록단락,목록 단"/>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aliases w:val="列出段落 字符,- Bullets 字符,?? ?? 字符,????? 字符,???? 字符,Lista1 字符,リスト段落 字符,中等深浅网格 1 - 着色 21 字符,목록 단락 字符,¥¡¡¡¡ì¬º¥¹¥È¶ÎÂä 字符,ÁÐ³ö¶ÎÂä 字符,¥ê¥¹¥È¶ÎÂä 字符,列表段落1 字符,—ño’i—Ž 字符,1st level - Bullet List Paragraph 字符,Lettre d'introduction 字符,Paragrafo elenco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sz w:val="24"/>
      <w:szCs w:val="24"/>
    </w:rPr>
  </w:style>
  <w:style w:type="table" w:customStyle="1" w:styleId="TableNormal1">
    <w:name w:val="Table Normal1"/>
    <w:basedOn w:val="a1"/>
    <w:semiHidden/>
    <w:qFormat/>
    <w:tbl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TACChar">
    <w:name w:val="TAC Char"/>
    <w:link w:val="TAC"/>
    <w:qFormat/>
    <w:rsid w:val="000835A7"/>
    <w:rPr>
      <w:rFonts w:ascii="Arial" w:hAnsi="Arial"/>
      <w:sz w:val="18"/>
      <w:lang w:val="en-GB" w:eastAsia="en-US"/>
    </w:rPr>
  </w:style>
  <w:style w:type="character" w:customStyle="1" w:styleId="0MaintextChar">
    <w:name w:val="0 Main text Char"/>
    <w:link w:val="0Maintext"/>
    <w:qFormat/>
    <w:locked/>
    <w:rsid w:val="000835A7"/>
    <w:rPr>
      <w:lang w:val="en-GB" w:eastAsia="en-US"/>
    </w:rPr>
  </w:style>
  <w:style w:type="paragraph" w:customStyle="1" w:styleId="0Maintext">
    <w:name w:val="0 Main text"/>
    <w:basedOn w:val="a"/>
    <w:link w:val="0MaintextChar"/>
    <w:qFormat/>
    <w:rsid w:val="000835A7"/>
    <w:pPr>
      <w:jc w:val="both"/>
    </w:pPr>
    <w:rPr>
      <w:sz w:val="20"/>
      <w:szCs w:val="20"/>
      <w:lang w:val="en-GB" w:eastAsia="en-US"/>
    </w:rPr>
  </w:style>
  <w:style w:type="character" w:customStyle="1" w:styleId="B1Char">
    <w:name w:val="B1 Char"/>
    <w:qFormat/>
    <w:rsid w:val="00D31BEE"/>
    <w:rPr>
      <w:rFonts w:ascii="Arial" w:hAnsi="Arial"/>
      <w:lang w:val="en-GB" w:eastAsia="en-US"/>
    </w:rPr>
  </w:style>
  <w:style w:type="paragraph" w:customStyle="1" w:styleId="CRCoverPage">
    <w:name w:val="CR Cover Page"/>
    <w:link w:val="CRCoverPageZchn"/>
    <w:qFormat/>
    <w:rsid w:val="00402EDF"/>
    <w:pPr>
      <w:spacing w:after="120" w:line="259" w:lineRule="auto"/>
    </w:pPr>
    <w:rPr>
      <w:rFonts w:ascii="Arial" w:hAnsi="Arial"/>
      <w:lang w:val="en-GB" w:eastAsia="en-US"/>
    </w:rPr>
  </w:style>
  <w:style w:type="character" w:customStyle="1" w:styleId="CRCoverPageZchn">
    <w:name w:val="CR Cover Page Zchn"/>
    <w:link w:val="CRCoverPage"/>
    <w:locked/>
    <w:rsid w:val="00402E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996">
      <w:bodyDiv w:val="1"/>
      <w:marLeft w:val="0"/>
      <w:marRight w:val="0"/>
      <w:marTop w:val="0"/>
      <w:marBottom w:val="0"/>
      <w:divBdr>
        <w:top w:val="none" w:sz="0" w:space="0" w:color="auto"/>
        <w:left w:val="none" w:sz="0" w:space="0" w:color="auto"/>
        <w:bottom w:val="none" w:sz="0" w:space="0" w:color="auto"/>
        <w:right w:val="none" w:sz="0" w:space="0" w:color="auto"/>
      </w:divBdr>
    </w:div>
    <w:div w:id="269826737">
      <w:bodyDiv w:val="1"/>
      <w:marLeft w:val="0"/>
      <w:marRight w:val="0"/>
      <w:marTop w:val="0"/>
      <w:marBottom w:val="0"/>
      <w:divBdr>
        <w:top w:val="none" w:sz="0" w:space="0" w:color="auto"/>
        <w:left w:val="none" w:sz="0" w:space="0" w:color="auto"/>
        <w:bottom w:val="none" w:sz="0" w:space="0" w:color="auto"/>
        <w:right w:val="none" w:sz="0" w:space="0" w:color="auto"/>
      </w:divBdr>
    </w:div>
    <w:div w:id="1562250285">
      <w:bodyDiv w:val="1"/>
      <w:marLeft w:val="0"/>
      <w:marRight w:val="0"/>
      <w:marTop w:val="0"/>
      <w:marBottom w:val="0"/>
      <w:divBdr>
        <w:top w:val="none" w:sz="0" w:space="0" w:color="auto"/>
        <w:left w:val="none" w:sz="0" w:space="0" w:color="auto"/>
        <w:bottom w:val="none" w:sz="0" w:space="0" w:color="auto"/>
        <w:right w:val="none" w:sz="0" w:space="0" w:color="auto"/>
      </w:divBdr>
    </w:div>
    <w:div w:id="1631668976">
      <w:bodyDiv w:val="1"/>
      <w:marLeft w:val="0"/>
      <w:marRight w:val="0"/>
      <w:marTop w:val="0"/>
      <w:marBottom w:val="0"/>
      <w:divBdr>
        <w:top w:val="none" w:sz="0" w:space="0" w:color="auto"/>
        <w:left w:val="none" w:sz="0" w:space="0" w:color="auto"/>
        <w:bottom w:val="none" w:sz="0" w:space="0" w:color="auto"/>
        <w:right w:val="none" w:sz="0" w:space="0" w:color="auto"/>
      </w:divBdr>
    </w:div>
    <w:div w:id="1990472226">
      <w:bodyDiv w:val="1"/>
      <w:marLeft w:val="0"/>
      <w:marRight w:val="0"/>
      <w:marTop w:val="0"/>
      <w:marBottom w:val="0"/>
      <w:divBdr>
        <w:top w:val="none" w:sz="0" w:space="0" w:color="auto"/>
        <w:left w:val="none" w:sz="0" w:space="0" w:color="auto"/>
        <w:bottom w:val="none" w:sz="0" w:space="0" w:color="auto"/>
        <w:right w:val="none" w:sz="0" w:space="0" w:color="auto"/>
      </w:divBdr>
    </w:div>
    <w:div w:id="2134597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873BE-6C36-4763-9F60-023431A42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2</Pages>
  <Words>649</Words>
  <Characters>3701</Characters>
  <Application>Microsoft Office Word</Application>
  <DocSecurity>0</DocSecurity>
  <Lines>30</Lines>
  <Paragraphs>8</Paragraphs>
  <ScaleCrop>false</ScaleCrop>
  <Company>ZTE</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 Li</cp:lastModifiedBy>
  <cp:revision>1029</cp:revision>
  <dcterms:created xsi:type="dcterms:W3CDTF">2023-09-26T08:41:00Z</dcterms:created>
  <dcterms:modified xsi:type="dcterms:W3CDTF">2024-11-08T07:16:00Z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B9615361338D47508B63CE75DD2C3BA0</vt:lpwstr>
  </property>
</Properties>
</file>